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AE11A7" w14:textId="7F418626" w:rsidR="005727FE" w:rsidRPr="005727FE" w:rsidRDefault="005727FE" w:rsidP="005727FE">
      <w:pPr>
        <w:spacing w:after="0"/>
        <w:rPr>
          <w:b/>
          <w:bCs/>
          <w:lang w:val="nl-NL"/>
        </w:rPr>
      </w:pPr>
      <w:r w:rsidRPr="005727FE">
        <w:rPr>
          <w:b/>
          <w:bCs/>
          <w:lang w:val="nl-NL"/>
        </w:rPr>
        <w:t>Hoe komt wetgeving tot stand?</w:t>
      </w:r>
    </w:p>
    <w:p w14:paraId="64E804D0" w14:textId="77777777" w:rsidR="005727FE" w:rsidRPr="005727FE" w:rsidRDefault="005727FE" w:rsidP="005727FE">
      <w:pPr>
        <w:spacing w:after="0"/>
        <w:rPr>
          <w:lang w:val="nl-NL"/>
        </w:rPr>
      </w:pPr>
    </w:p>
    <w:p w14:paraId="340D94E7" w14:textId="77777777" w:rsidR="005727FE" w:rsidRPr="005727FE" w:rsidRDefault="005727FE" w:rsidP="005727FE">
      <w:pPr>
        <w:spacing w:after="0"/>
        <w:rPr>
          <w:lang w:val="nl-NL"/>
        </w:rPr>
      </w:pPr>
      <w:r w:rsidRPr="005727FE">
        <w:rPr>
          <w:lang w:val="nl-NL"/>
        </w:rPr>
        <w:t>Voordat wetsvoorstellen voor nieuwe wetgeving ook daadwerkelijk als nieuwe wet in werking kunnen treden, moeten ze een bepaald traject doorlopen. In dit artikel worden de onderdelen van dit traject beschreven. Hoeveel tijd de verschillende fases elk in beslag nemen, is van tevoren niet te zeggen en verschilt per wetsvoorstel.</w:t>
      </w:r>
    </w:p>
    <w:p w14:paraId="081626A2" w14:textId="77777777" w:rsidR="005727FE" w:rsidRPr="005727FE" w:rsidRDefault="005727FE" w:rsidP="005727FE">
      <w:pPr>
        <w:spacing w:after="0"/>
        <w:rPr>
          <w:lang w:val="nl-NL"/>
        </w:rPr>
      </w:pPr>
    </w:p>
    <w:p w14:paraId="54D4B79E" w14:textId="77777777" w:rsidR="005727FE" w:rsidRPr="005727FE" w:rsidRDefault="005727FE" w:rsidP="005727FE">
      <w:pPr>
        <w:spacing w:after="0"/>
        <w:rPr>
          <w:b/>
          <w:bCs/>
          <w:lang w:val="nl-NL"/>
        </w:rPr>
      </w:pPr>
      <w:r w:rsidRPr="005727FE">
        <w:rPr>
          <w:b/>
          <w:bCs/>
          <w:lang w:val="nl-NL"/>
        </w:rPr>
        <w:t>Het wetsvoorstel wordt behandeld en goedgekeurd in de ministerraad</w:t>
      </w:r>
    </w:p>
    <w:p w14:paraId="7F950D06" w14:textId="77777777" w:rsidR="005727FE" w:rsidRPr="005727FE" w:rsidRDefault="005727FE" w:rsidP="005727FE">
      <w:pPr>
        <w:spacing w:after="0"/>
        <w:rPr>
          <w:lang w:val="nl-NL"/>
        </w:rPr>
      </w:pPr>
    </w:p>
    <w:p w14:paraId="14219D36" w14:textId="77777777" w:rsidR="005727FE" w:rsidRPr="005727FE" w:rsidRDefault="005727FE" w:rsidP="005727FE">
      <w:pPr>
        <w:spacing w:after="0"/>
        <w:rPr>
          <w:lang w:val="nl-NL"/>
        </w:rPr>
      </w:pPr>
      <w:r w:rsidRPr="005727FE">
        <w:rPr>
          <w:lang w:val="nl-NL"/>
        </w:rPr>
        <w:t>Het wetsvoorstel, dat door ambtenaren van het Ministerie wordt opgesteld, gaat ter goedkeuring naar de ministerraad. Bij het wetsvoorstel hoort een memorie van toelichting van de Minister, waarin hij uitleg geeft over de verschillende wetsartikelen.</w:t>
      </w:r>
    </w:p>
    <w:p w14:paraId="6898E82C" w14:textId="77777777" w:rsidR="005727FE" w:rsidRPr="005727FE" w:rsidRDefault="005727FE" w:rsidP="005727FE">
      <w:pPr>
        <w:spacing w:after="0"/>
        <w:rPr>
          <w:lang w:val="nl-NL"/>
        </w:rPr>
      </w:pPr>
    </w:p>
    <w:p w14:paraId="4D0FCBBB" w14:textId="77777777" w:rsidR="005727FE" w:rsidRPr="005727FE" w:rsidRDefault="005727FE" w:rsidP="005727FE">
      <w:pPr>
        <w:spacing w:after="0"/>
        <w:rPr>
          <w:b/>
          <w:bCs/>
          <w:lang w:val="nl-NL"/>
        </w:rPr>
      </w:pPr>
      <w:r w:rsidRPr="005727FE">
        <w:rPr>
          <w:b/>
          <w:bCs/>
          <w:lang w:val="nl-NL"/>
        </w:rPr>
        <w:t>Het wetsvoorstel wordt beoordeeld door de Raad van State</w:t>
      </w:r>
    </w:p>
    <w:p w14:paraId="7207A66A" w14:textId="77777777" w:rsidR="005727FE" w:rsidRPr="005727FE" w:rsidRDefault="005727FE" w:rsidP="005727FE">
      <w:pPr>
        <w:spacing w:after="0"/>
        <w:rPr>
          <w:lang w:val="nl-NL"/>
        </w:rPr>
      </w:pPr>
    </w:p>
    <w:p w14:paraId="2A881669" w14:textId="77777777" w:rsidR="005727FE" w:rsidRPr="005727FE" w:rsidRDefault="005727FE" w:rsidP="005727FE">
      <w:pPr>
        <w:spacing w:after="0"/>
        <w:rPr>
          <w:lang w:val="nl-NL"/>
        </w:rPr>
      </w:pPr>
      <w:r w:rsidRPr="005727FE">
        <w:rPr>
          <w:lang w:val="nl-NL"/>
        </w:rPr>
        <w:t xml:space="preserve">Als de ministerraad het wetsvoorstel heeft goedgekeurd, vraagt het kabinet de Raad van State om een advies over het voorstel. De Raad van State richt dit advies aan de Koningin. Het Ministerie reageert op het advies in het zogenaamde nader rapport. </w:t>
      </w:r>
    </w:p>
    <w:p w14:paraId="41D0952F" w14:textId="77777777" w:rsidR="005727FE" w:rsidRPr="005727FE" w:rsidRDefault="005727FE" w:rsidP="005727FE">
      <w:pPr>
        <w:spacing w:after="0"/>
        <w:rPr>
          <w:lang w:val="nl-NL"/>
        </w:rPr>
      </w:pPr>
    </w:p>
    <w:p w14:paraId="79F7FA25" w14:textId="77777777" w:rsidR="005727FE" w:rsidRPr="005727FE" w:rsidRDefault="005727FE" w:rsidP="005727FE">
      <w:pPr>
        <w:spacing w:after="0"/>
        <w:rPr>
          <w:b/>
          <w:bCs/>
          <w:lang w:val="nl-NL"/>
        </w:rPr>
      </w:pPr>
      <w:r w:rsidRPr="005727FE">
        <w:rPr>
          <w:b/>
          <w:bCs/>
          <w:lang w:val="nl-NL"/>
        </w:rPr>
        <w:t>Het wetsvoorstel wordt behandeld en goedgekeurd in de Tweede Kamer</w:t>
      </w:r>
    </w:p>
    <w:p w14:paraId="394467FC" w14:textId="77777777" w:rsidR="005727FE" w:rsidRPr="005727FE" w:rsidRDefault="005727FE" w:rsidP="005727FE">
      <w:pPr>
        <w:spacing w:after="0"/>
        <w:rPr>
          <w:lang w:val="nl-NL"/>
        </w:rPr>
      </w:pPr>
    </w:p>
    <w:p w14:paraId="105602D8" w14:textId="77777777" w:rsidR="005727FE" w:rsidRPr="005727FE" w:rsidRDefault="005727FE" w:rsidP="005727FE">
      <w:pPr>
        <w:spacing w:after="0"/>
        <w:rPr>
          <w:lang w:val="nl-NL"/>
        </w:rPr>
      </w:pPr>
      <w:r w:rsidRPr="005727FE">
        <w:rPr>
          <w:lang w:val="nl-NL"/>
        </w:rPr>
        <w:t xml:space="preserve">De Koningin stuurt het wetsvoorstel, de memorie van toelichting, het advies van de Raad van State en het nader rapport naar de Tweede Kamer. In de Tweede Kamer wordt het wetsvoorstel eerst schriftelijk en daarna openbaar behandeld. De schriftelijke behandeling gaat als volgt in zijn werk: </w:t>
      </w:r>
    </w:p>
    <w:p w14:paraId="4EB7D935" w14:textId="77777777" w:rsidR="005727FE" w:rsidRPr="005727FE" w:rsidRDefault="005727FE" w:rsidP="005727FE">
      <w:pPr>
        <w:spacing w:after="0"/>
        <w:rPr>
          <w:lang w:val="nl-NL"/>
        </w:rPr>
      </w:pPr>
    </w:p>
    <w:p w14:paraId="7E149DB1" w14:textId="5528FA29" w:rsidR="005727FE" w:rsidRPr="005727FE" w:rsidRDefault="005727FE" w:rsidP="005404FA">
      <w:pPr>
        <w:pStyle w:val="Lijstalinea"/>
        <w:numPr>
          <w:ilvl w:val="0"/>
          <w:numId w:val="2"/>
        </w:numPr>
        <w:spacing w:after="0"/>
        <w:ind w:left="426" w:hanging="426"/>
        <w:rPr>
          <w:lang w:val="nl-NL"/>
        </w:rPr>
      </w:pPr>
      <w:r w:rsidRPr="005727FE">
        <w:rPr>
          <w:lang w:val="nl-NL"/>
        </w:rPr>
        <w:t xml:space="preserve">De Tweede Kamer stelt een verslag op met daarin haar oordeel over en vragen naar aanleiding van het wetsvoorstel. </w:t>
      </w:r>
    </w:p>
    <w:p w14:paraId="77F28E87" w14:textId="615B4376" w:rsidR="005727FE" w:rsidRPr="005727FE" w:rsidRDefault="005727FE" w:rsidP="005404FA">
      <w:pPr>
        <w:pStyle w:val="Lijstalinea"/>
        <w:numPr>
          <w:ilvl w:val="0"/>
          <w:numId w:val="2"/>
        </w:numPr>
        <w:spacing w:after="0"/>
        <w:ind w:left="426" w:hanging="426"/>
        <w:rPr>
          <w:lang w:val="nl-NL"/>
        </w:rPr>
      </w:pPr>
      <w:r w:rsidRPr="005727FE">
        <w:rPr>
          <w:lang w:val="nl-NL"/>
        </w:rPr>
        <w:t xml:space="preserve">Het kabinet geeft in een nota naar aanleiding van het verslag antwoord op het verslag van de Kamer. </w:t>
      </w:r>
    </w:p>
    <w:p w14:paraId="2F52BB5E" w14:textId="75EA9E18" w:rsidR="005727FE" w:rsidRPr="005727FE" w:rsidRDefault="005727FE" w:rsidP="005404FA">
      <w:pPr>
        <w:pStyle w:val="Lijstalinea"/>
        <w:numPr>
          <w:ilvl w:val="0"/>
          <w:numId w:val="2"/>
        </w:numPr>
        <w:spacing w:after="0"/>
        <w:ind w:left="426" w:hanging="426"/>
        <w:rPr>
          <w:lang w:val="nl-NL"/>
        </w:rPr>
      </w:pPr>
      <w:r w:rsidRPr="005727FE">
        <w:rPr>
          <w:lang w:val="nl-NL"/>
        </w:rPr>
        <w:t xml:space="preserve">De Tweede Kamer kan in een nader verslag nogmaals reageren op de nota naar aanleiding van het verslag. </w:t>
      </w:r>
    </w:p>
    <w:p w14:paraId="13EAD566" w14:textId="5549DC91" w:rsidR="005727FE" w:rsidRPr="005727FE" w:rsidRDefault="005727FE" w:rsidP="005404FA">
      <w:pPr>
        <w:pStyle w:val="Lijstalinea"/>
        <w:numPr>
          <w:ilvl w:val="0"/>
          <w:numId w:val="2"/>
        </w:numPr>
        <w:spacing w:after="0"/>
        <w:ind w:left="426" w:hanging="426"/>
        <w:rPr>
          <w:lang w:val="nl-NL"/>
        </w:rPr>
      </w:pPr>
      <w:r w:rsidRPr="005727FE">
        <w:rPr>
          <w:lang w:val="nl-NL"/>
        </w:rPr>
        <w:t xml:space="preserve">Het kabinet reageert in een nota naar aanleiding van het nader verslag op het nader verslag. </w:t>
      </w:r>
    </w:p>
    <w:p w14:paraId="33097223" w14:textId="77777777" w:rsidR="005727FE" w:rsidRPr="005727FE" w:rsidRDefault="005727FE" w:rsidP="005727FE">
      <w:pPr>
        <w:spacing w:after="0"/>
        <w:rPr>
          <w:lang w:val="nl-NL"/>
        </w:rPr>
      </w:pPr>
    </w:p>
    <w:p w14:paraId="0C6C7884" w14:textId="77777777" w:rsidR="005727FE" w:rsidRPr="005727FE" w:rsidRDefault="005727FE" w:rsidP="005727FE">
      <w:pPr>
        <w:spacing w:after="0"/>
        <w:rPr>
          <w:lang w:val="nl-NL"/>
        </w:rPr>
      </w:pPr>
      <w:r w:rsidRPr="005727FE">
        <w:rPr>
          <w:lang w:val="nl-NL"/>
        </w:rPr>
        <w:t>Na de schriftelijke behandeling wordt het wetsvoorstel openbaar besproken. Tijdens de schriftelijke en openbare behandeling in de Tweede Kamer kan er nog van alles in het wetsvoorstel worden gewijzigd. De Tweede Kamer heeft bijvoorbeeld het recht om amendementen en moties in te dienen. De leden van de Tweede Kamer kunnen door het indienen van amendementen concrete onderdelen van het voorliggende wetsvoorstel wijzigen. Moties zijn een middel om tot verklaringen van de komen van de Kamer. In moties kunnen bijvoorbeeld wensen van de Kamer richting het Kabinet inzake het wetsvoorstel kenbaar worden gemaakt. Een aangenomen amendement kan het Kabinet niet naast zich neerleggen. Vindt de Minister of het Kabinet dat een amendement het wetsvoorstel te ingrijpend veranderd, dan kan besloten worden het wetsvoorstel in te trekken.</w:t>
      </w:r>
    </w:p>
    <w:p w14:paraId="38582497" w14:textId="77777777" w:rsidR="005727FE" w:rsidRPr="005727FE" w:rsidRDefault="005727FE" w:rsidP="005727FE">
      <w:pPr>
        <w:spacing w:after="0"/>
        <w:rPr>
          <w:lang w:val="nl-NL"/>
        </w:rPr>
      </w:pPr>
    </w:p>
    <w:p w14:paraId="28807705" w14:textId="77777777" w:rsidR="005727FE" w:rsidRPr="005727FE" w:rsidRDefault="005727FE" w:rsidP="005727FE">
      <w:pPr>
        <w:spacing w:after="0"/>
        <w:rPr>
          <w:lang w:val="nl-NL"/>
        </w:rPr>
      </w:pPr>
      <w:r w:rsidRPr="005727FE">
        <w:rPr>
          <w:lang w:val="nl-NL"/>
        </w:rPr>
        <w:t>De behandeling van het wetsvoorstel in de Tweede Kamer wordt afgesloten met een stemming over het (gewijzigde) wetsvoorstel. Als het voorstel wordt aangenomen, ligt de tekst definitief vast.</w:t>
      </w:r>
    </w:p>
    <w:p w14:paraId="6362BD33" w14:textId="77777777" w:rsidR="005727FE" w:rsidRPr="005727FE" w:rsidRDefault="005727FE" w:rsidP="005727FE">
      <w:pPr>
        <w:spacing w:after="0"/>
        <w:rPr>
          <w:lang w:val="nl-NL"/>
        </w:rPr>
      </w:pPr>
    </w:p>
    <w:p w14:paraId="5E014B2E" w14:textId="77777777" w:rsidR="005727FE" w:rsidRPr="005727FE" w:rsidRDefault="005727FE" w:rsidP="005727FE">
      <w:pPr>
        <w:spacing w:after="0"/>
        <w:rPr>
          <w:b/>
          <w:bCs/>
          <w:lang w:val="nl-NL"/>
        </w:rPr>
      </w:pPr>
      <w:r w:rsidRPr="005727FE">
        <w:rPr>
          <w:b/>
          <w:bCs/>
          <w:lang w:val="nl-NL"/>
        </w:rPr>
        <w:t>Het wetsvoorstel wordt behandeld en goedgekeurd in de Eerste Kamer</w:t>
      </w:r>
    </w:p>
    <w:p w14:paraId="72AE1500" w14:textId="77777777" w:rsidR="005727FE" w:rsidRPr="005727FE" w:rsidRDefault="005727FE" w:rsidP="005727FE">
      <w:pPr>
        <w:spacing w:after="0"/>
        <w:rPr>
          <w:lang w:val="nl-NL"/>
        </w:rPr>
      </w:pPr>
    </w:p>
    <w:p w14:paraId="1B68936B" w14:textId="77777777" w:rsidR="005727FE" w:rsidRPr="005727FE" w:rsidRDefault="005727FE" w:rsidP="005727FE">
      <w:pPr>
        <w:spacing w:after="0"/>
        <w:rPr>
          <w:lang w:val="nl-NL"/>
        </w:rPr>
      </w:pPr>
      <w:r w:rsidRPr="005727FE">
        <w:rPr>
          <w:lang w:val="nl-NL"/>
        </w:rPr>
        <w:lastRenderedPageBreak/>
        <w:t xml:space="preserve">De definitieve tekst van het wetsvoorstel zoals die door de Tweede Kamer is vastgesteld, wordt ter goedkeuring aan de Eerste Kamer voorgelegd. De Eerste Kamer kan in principe het wetsvoorstel alleen aannemen of verwerpen. De behandeling van het wetsvoorstel in de Eerste Kamer valt, net als de behandeling in de Tweede Kamer, uiteen in een schriftelijke en een openbare behandeling. Tijdens de schriftelijke behandeling kunnen de volgende stukken tussen de Eerste Kamer en het kabinet worden gewisseld: </w:t>
      </w:r>
    </w:p>
    <w:p w14:paraId="15EC3170" w14:textId="77777777" w:rsidR="005727FE" w:rsidRPr="005727FE" w:rsidRDefault="005727FE" w:rsidP="005727FE">
      <w:pPr>
        <w:spacing w:after="0"/>
        <w:rPr>
          <w:lang w:val="nl-NL"/>
        </w:rPr>
      </w:pPr>
    </w:p>
    <w:p w14:paraId="213146B1" w14:textId="6916FE8E" w:rsidR="005727FE" w:rsidRPr="005727FE" w:rsidRDefault="005727FE" w:rsidP="005404FA">
      <w:pPr>
        <w:pStyle w:val="Lijstalinea"/>
        <w:numPr>
          <w:ilvl w:val="0"/>
          <w:numId w:val="2"/>
        </w:numPr>
        <w:spacing w:after="0"/>
        <w:ind w:left="426" w:hanging="426"/>
        <w:rPr>
          <w:lang w:val="nl-NL"/>
        </w:rPr>
      </w:pPr>
      <w:r w:rsidRPr="005727FE">
        <w:rPr>
          <w:lang w:val="nl-NL"/>
        </w:rPr>
        <w:t xml:space="preserve">De Eerste Kamer schrijft een voorlopig verslag over het wetsvoorstel. </w:t>
      </w:r>
    </w:p>
    <w:p w14:paraId="7A71C632" w14:textId="04228564" w:rsidR="005727FE" w:rsidRPr="005727FE" w:rsidRDefault="005727FE" w:rsidP="005404FA">
      <w:pPr>
        <w:pStyle w:val="Lijstalinea"/>
        <w:numPr>
          <w:ilvl w:val="0"/>
          <w:numId w:val="2"/>
        </w:numPr>
        <w:spacing w:after="0"/>
        <w:ind w:left="426" w:hanging="426"/>
        <w:rPr>
          <w:lang w:val="nl-NL"/>
        </w:rPr>
      </w:pPr>
      <w:r w:rsidRPr="005727FE">
        <w:rPr>
          <w:lang w:val="nl-NL"/>
        </w:rPr>
        <w:t xml:space="preserve">Het kabinet reageert op het voorlopig verslag in een memorie van antwoord. </w:t>
      </w:r>
    </w:p>
    <w:p w14:paraId="79CD5A75" w14:textId="71266A46" w:rsidR="005727FE" w:rsidRPr="005727FE" w:rsidRDefault="005727FE" w:rsidP="005404FA">
      <w:pPr>
        <w:pStyle w:val="Lijstalinea"/>
        <w:numPr>
          <w:ilvl w:val="0"/>
          <w:numId w:val="2"/>
        </w:numPr>
        <w:spacing w:after="0"/>
        <w:ind w:left="426" w:hanging="426"/>
        <w:rPr>
          <w:lang w:val="nl-NL"/>
        </w:rPr>
      </w:pPr>
      <w:r w:rsidRPr="005727FE">
        <w:rPr>
          <w:lang w:val="nl-NL"/>
        </w:rPr>
        <w:t xml:space="preserve">Naar aanleiding van de memorie van antwoord kan de Eerste Kamer een nader voorlopig verslag opstellen. </w:t>
      </w:r>
    </w:p>
    <w:p w14:paraId="561422BA" w14:textId="29DE39A7" w:rsidR="005727FE" w:rsidRPr="005727FE" w:rsidRDefault="005727FE" w:rsidP="005404FA">
      <w:pPr>
        <w:pStyle w:val="Lijstalinea"/>
        <w:numPr>
          <w:ilvl w:val="0"/>
          <w:numId w:val="2"/>
        </w:numPr>
        <w:spacing w:after="0"/>
        <w:ind w:left="426" w:hanging="426"/>
        <w:rPr>
          <w:lang w:val="nl-NL"/>
        </w:rPr>
      </w:pPr>
      <w:r w:rsidRPr="005727FE">
        <w:rPr>
          <w:lang w:val="nl-NL"/>
        </w:rPr>
        <w:t xml:space="preserve">Het kabinet beantwoordt het nader voorlopig verslag in een nadere memorie van antwoord. </w:t>
      </w:r>
    </w:p>
    <w:p w14:paraId="5D852CE2" w14:textId="5CB16219" w:rsidR="005727FE" w:rsidRPr="005727FE" w:rsidRDefault="005727FE" w:rsidP="005404FA">
      <w:pPr>
        <w:pStyle w:val="Lijstalinea"/>
        <w:numPr>
          <w:ilvl w:val="0"/>
          <w:numId w:val="2"/>
        </w:numPr>
        <w:spacing w:after="0"/>
        <w:ind w:left="426" w:hanging="426"/>
        <w:rPr>
          <w:lang w:val="nl-NL"/>
        </w:rPr>
      </w:pPr>
      <w:r w:rsidRPr="005727FE">
        <w:rPr>
          <w:lang w:val="nl-NL"/>
        </w:rPr>
        <w:t xml:space="preserve">De Eerste Kamer kan in een verslag nogmaals reageren op de nadere memorie van antwoord. </w:t>
      </w:r>
    </w:p>
    <w:p w14:paraId="5917C8D8" w14:textId="6E844072" w:rsidR="005727FE" w:rsidRPr="005727FE" w:rsidRDefault="005727FE" w:rsidP="005404FA">
      <w:pPr>
        <w:pStyle w:val="Lijstalinea"/>
        <w:numPr>
          <w:ilvl w:val="0"/>
          <w:numId w:val="2"/>
        </w:numPr>
        <w:spacing w:after="0"/>
        <w:ind w:left="426" w:hanging="426"/>
        <w:rPr>
          <w:lang w:val="nl-NL"/>
        </w:rPr>
      </w:pPr>
      <w:r w:rsidRPr="005727FE">
        <w:rPr>
          <w:lang w:val="nl-NL"/>
        </w:rPr>
        <w:t xml:space="preserve">Het kabinet stelt naar aanleiding van het verslag een nota naar aanleiding van het verslag op. </w:t>
      </w:r>
    </w:p>
    <w:p w14:paraId="0080F225" w14:textId="79D5C643" w:rsidR="005727FE" w:rsidRPr="005727FE" w:rsidRDefault="005727FE" w:rsidP="005404FA">
      <w:pPr>
        <w:pStyle w:val="Lijstalinea"/>
        <w:numPr>
          <w:ilvl w:val="0"/>
          <w:numId w:val="2"/>
        </w:numPr>
        <w:spacing w:after="0"/>
        <w:ind w:left="426" w:hanging="426"/>
        <w:rPr>
          <w:lang w:val="nl-NL"/>
        </w:rPr>
      </w:pPr>
      <w:r w:rsidRPr="005727FE">
        <w:rPr>
          <w:lang w:val="nl-NL"/>
        </w:rPr>
        <w:t xml:space="preserve">De Eerste Kamer schrijft een eindverslag. </w:t>
      </w:r>
    </w:p>
    <w:p w14:paraId="6DD62997" w14:textId="77777777" w:rsidR="005727FE" w:rsidRPr="005727FE" w:rsidRDefault="005727FE" w:rsidP="005727FE">
      <w:pPr>
        <w:spacing w:after="0"/>
        <w:rPr>
          <w:lang w:val="nl-NL"/>
        </w:rPr>
      </w:pPr>
    </w:p>
    <w:p w14:paraId="4C066FE1" w14:textId="77777777" w:rsidR="005727FE" w:rsidRPr="005727FE" w:rsidRDefault="005727FE" w:rsidP="005727FE">
      <w:pPr>
        <w:spacing w:after="0"/>
        <w:rPr>
          <w:lang w:val="nl-NL"/>
        </w:rPr>
      </w:pPr>
      <w:r w:rsidRPr="005727FE">
        <w:rPr>
          <w:lang w:val="nl-NL"/>
        </w:rPr>
        <w:t xml:space="preserve">Na de schriftelijke behandeling volgt de openbare behandeling en de stemming. </w:t>
      </w:r>
    </w:p>
    <w:p w14:paraId="2DFEF104" w14:textId="77777777" w:rsidR="005727FE" w:rsidRPr="005727FE" w:rsidRDefault="005727FE" w:rsidP="005727FE">
      <w:pPr>
        <w:spacing w:after="0"/>
        <w:rPr>
          <w:lang w:val="nl-NL"/>
        </w:rPr>
      </w:pPr>
    </w:p>
    <w:p w14:paraId="2870FDF9" w14:textId="77777777" w:rsidR="005727FE" w:rsidRPr="005727FE" w:rsidRDefault="005727FE" w:rsidP="005727FE">
      <w:pPr>
        <w:spacing w:after="0"/>
        <w:rPr>
          <w:b/>
          <w:bCs/>
          <w:lang w:val="nl-NL"/>
        </w:rPr>
      </w:pPr>
      <w:r w:rsidRPr="005727FE">
        <w:rPr>
          <w:b/>
          <w:bCs/>
          <w:lang w:val="nl-NL"/>
        </w:rPr>
        <w:t>De wet wordt gepubliceerd in het Staatsblad</w:t>
      </w:r>
    </w:p>
    <w:p w14:paraId="11CBF2EE" w14:textId="77777777" w:rsidR="005727FE" w:rsidRPr="005727FE" w:rsidRDefault="005727FE" w:rsidP="005727FE">
      <w:pPr>
        <w:spacing w:after="0"/>
        <w:rPr>
          <w:lang w:val="nl-NL"/>
        </w:rPr>
      </w:pPr>
    </w:p>
    <w:p w14:paraId="58335426" w14:textId="77777777" w:rsidR="005727FE" w:rsidRPr="005727FE" w:rsidRDefault="005727FE" w:rsidP="005727FE">
      <w:pPr>
        <w:spacing w:after="0"/>
        <w:rPr>
          <w:lang w:val="nl-NL"/>
        </w:rPr>
      </w:pPr>
      <w:r w:rsidRPr="005727FE">
        <w:rPr>
          <w:lang w:val="nl-NL"/>
        </w:rPr>
        <w:t>Als het wetsvoorstel door de Tweede en de Eerste Kamer is aangenomen, en dus is goedgekeurd door het parlement, zetten de Koningin en de verantwoordelijke Minister hun handtekening onder de wet. De wet wordt vervolgens gepubliceerd in het Staatsblad en daarmee is het wetsvoorstel een nieuwe wet geworden.</w:t>
      </w:r>
    </w:p>
    <w:p w14:paraId="44301EC7" w14:textId="77777777" w:rsidR="005727FE" w:rsidRPr="005727FE" w:rsidRDefault="005727FE" w:rsidP="005727FE">
      <w:pPr>
        <w:spacing w:after="0"/>
        <w:rPr>
          <w:lang w:val="nl-NL"/>
        </w:rPr>
      </w:pPr>
    </w:p>
    <w:p w14:paraId="0519A47E" w14:textId="77777777" w:rsidR="005727FE" w:rsidRPr="005727FE" w:rsidRDefault="005727FE" w:rsidP="005727FE">
      <w:pPr>
        <w:spacing w:after="0"/>
        <w:rPr>
          <w:b/>
          <w:bCs/>
          <w:lang w:val="nl-NL"/>
        </w:rPr>
      </w:pPr>
      <w:r w:rsidRPr="005727FE">
        <w:rPr>
          <w:b/>
          <w:bCs/>
          <w:lang w:val="nl-NL"/>
        </w:rPr>
        <w:t>De wet treedt in werking</w:t>
      </w:r>
    </w:p>
    <w:p w14:paraId="43C83457" w14:textId="77777777" w:rsidR="005727FE" w:rsidRPr="005727FE" w:rsidRDefault="005727FE" w:rsidP="005727FE">
      <w:pPr>
        <w:spacing w:after="0"/>
        <w:rPr>
          <w:lang w:val="nl-NL"/>
        </w:rPr>
      </w:pPr>
    </w:p>
    <w:p w14:paraId="348F4504" w14:textId="728CBAC7" w:rsidR="00DB70B0" w:rsidRPr="005727FE" w:rsidRDefault="005727FE" w:rsidP="005727FE">
      <w:pPr>
        <w:spacing w:after="0"/>
        <w:rPr>
          <w:lang w:val="nl-NL"/>
        </w:rPr>
      </w:pPr>
      <w:r w:rsidRPr="005727FE">
        <w:rPr>
          <w:lang w:val="nl-NL"/>
        </w:rPr>
        <w:t>Na publicatie in het Staatsblad kan een wet officieel in werking treden. Vaak staat in het wetsvoorstel al een datum aangegeven waarop de wet in werking treedt. Het is ook mogelijk dat in de wet staat dat de inwerkingtreding nog in een nadere regeling zal worden geregeld. Als in de wet geen enkele bepaling is opgenomen over de inwerkingtreding, dan voorziet de Bekendmakingswet daarin. De wet treedt dan namelijk in werking op de eerste dag van de tweede kalendermaand na de datum van uitgifte van het Staatsblad waarin de wet is verschenen.</w:t>
      </w:r>
    </w:p>
    <w:sectPr w:rsidR="00DB70B0" w:rsidRPr="005727FE" w:rsidSect="003561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1169AE"/>
    <w:multiLevelType w:val="hybridMultilevel"/>
    <w:tmpl w:val="0E16E4DE"/>
    <w:lvl w:ilvl="0" w:tplc="C6508FF4">
      <w:numFmt w:val="bullet"/>
      <w:lvlText w:val="•"/>
      <w:lvlJc w:val="left"/>
      <w:pPr>
        <w:ind w:left="720" w:hanging="72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F1C7911"/>
    <w:multiLevelType w:val="hybridMultilevel"/>
    <w:tmpl w:val="A56496A6"/>
    <w:lvl w:ilvl="0" w:tplc="C6508FF4">
      <w:numFmt w:val="bullet"/>
      <w:lvlText w:val="•"/>
      <w:lvlJc w:val="left"/>
      <w:pPr>
        <w:ind w:left="72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C554C86"/>
    <w:multiLevelType w:val="hybridMultilevel"/>
    <w:tmpl w:val="E67476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66874674">
    <w:abstractNumId w:val="2"/>
  </w:num>
  <w:num w:numId="2" w16cid:durableId="629285267">
    <w:abstractNumId w:val="0"/>
  </w:num>
  <w:num w:numId="3" w16cid:durableId="21326292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7FE"/>
    <w:rsid w:val="001471E8"/>
    <w:rsid w:val="00233F45"/>
    <w:rsid w:val="003561F9"/>
    <w:rsid w:val="005404FA"/>
    <w:rsid w:val="005727FE"/>
    <w:rsid w:val="00A07418"/>
    <w:rsid w:val="00B325B1"/>
    <w:rsid w:val="00DB70B0"/>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FD44D"/>
  <w15:chartTrackingRefBased/>
  <w15:docId w15:val="{94314DDE-A05B-43B2-8F90-8C1BCE072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727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65116a6-8083-4f03-b85f-8964852f0dea">
      <Terms xmlns="http://schemas.microsoft.com/office/infopath/2007/PartnerControls"/>
    </lcf76f155ced4ddcb4097134ff3c332f>
    <TaxCatchAll xmlns="c7046681-aac4-4ebe-810d-4a43b32cfe6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EAE5979A338CB42865BCD299CA15A26" ma:contentTypeVersion="20" ma:contentTypeDescription="Een nieuw document maken." ma:contentTypeScope="" ma:versionID="eb3c1c5f97218e95b8dae69c98bc7221">
  <xsd:schema xmlns:xsd="http://www.w3.org/2001/XMLSchema" xmlns:xs="http://www.w3.org/2001/XMLSchema" xmlns:p="http://schemas.microsoft.com/office/2006/metadata/properties" xmlns:ns2="f65116a6-8083-4f03-b85f-8964852f0dea" xmlns:ns3="c7046681-aac4-4ebe-810d-4a43b32cfe64" targetNamespace="http://schemas.microsoft.com/office/2006/metadata/properties" ma:root="true" ma:fieldsID="b062afaba6e5797c30368591281a1dde" ns2:_="" ns3:_="">
    <xsd:import namespace="f65116a6-8083-4f03-b85f-8964852f0dea"/>
    <xsd:import namespace="c7046681-aac4-4ebe-810d-4a43b32cfe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5116a6-8083-4f03-b85f-8964852f0d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b7b20d51-4877-4eb6-a9ca-5104386b09e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046681-aac4-4ebe-810d-4a43b32cfe64"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f63963f6-b0c7-44fb-9bf3-8e3551d8cb72}" ma:internalName="TaxCatchAll" ma:showField="CatchAllData" ma:web="c7046681-aac4-4ebe-810d-4a43b32cfe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D215E0-3C07-4E0A-8EED-101F236B10DA}">
  <ds:schemaRefs>
    <ds:schemaRef ds:uri="http://schemas.microsoft.com/office/2006/metadata/properties"/>
    <ds:schemaRef ds:uri="http://schemas.microsoft.com/office/infopath/2007/PartnerControls"/>
    <ds:schemaRef ds:uri="f65116a6-8083-4f03-b85f-8964852f0dea"/>
    <ds:schemaRef ds:uri="c7046681-aac4-4ebe-810d-4a43b32cfe64"/>
  </ds:schemaRefs>
</ds:datastoreItem>
</file>

<file path=customXml/itemProps2.xml><?xml version="1.0" encoding="utf-8"?>
<ds:datastoreItem xmlns:ds="http://schemas.openxmlformats.org/officeDocument/2006/customXml" ds:itemID="{2317975E-BBD7-4013-92FF-C2F15A507D42}"/>
</file>

<file path=customXml/itemProps3.xml><?xml version="1.0" encoding="utf-8"?>
<ds:datastoreItem xmlns:ds="http://schemas.openxmlformats.org/officeDocument/2006/customXml" ds:itemID="{B824784E-1192-4642-A77A-A11E915D22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758</Words>
  <Characters>4173</Characters>
  <Application>Microsoft Office Word</Application>
  <DocSecurity>0</DocSecurity>
  <Lines>34</Lines>
  <Paragraphs>9</Paragraphs>
  <ScaleCrop>false</ScaleCrop>
  <Company/>
  <LinksUpToDate>false</LinksUpToDate>
  <CharactersWithSpaces>4922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Willem Stad</dc:creator>
  <cp:keywords/>
  <dc:description/>
  <cp:lastModifiedBy>Jan Willem Stad</cp:lastModifiedBy>
  <cp:revision>4</cp:revision>
  <dcterms:created xsi:type="dcterms:W3CDTF">2023-10-25T10:16:00Z</dcterms:created>
  <dcterms:modified xsi:type="dcterms:W3CDTF">2025-11-17T11:29:00Z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0x010100EEAE5979A338CB42865BCD299CA15A26</vt:lpwstr>
  </property>
  <property fmtid="{D5CDD505-2E9C-101B-9397-08002B2CF9AE}" pid="3" name="MediaServiceImageTags">
    <vt:lpwstr/>
  </property>
</Properties>
</file>